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0FEC9" w14:textId="77777777" w:rsidR="009A6E5B" w:rsidRPr="009A6E5B" w:rsidRDefault="009A6E5B" w:rsidP="008C689C">
      <w:pPr>
        <w:jc w:val="both"/>
        <w:rPr>
          <w:bCs/>
          <w:i/>
          <w:sz w:val="20"/>
          <w:szCs w:val="20"/>
        </w:rPr>
      </w:pPr>
      <w:r w:rsidRPr="009A6E5B">
        <w:rPr>
          <w:bCs/>
          <w:i/>
          <w:sz w:val="20"/>
          <w:szCs w:val="20"/>
        </w:rPr>
        <w:t>Společná tisková zpráva</w:t>
      </w:r>
    </w:p>
    <w:p w14:paraId="104B6094" w14:textId="77777777" w:rsidR="009A6E5B" w:rsidRPr="009A6E5B" w:rsidRDefault="009A6E5B" w:rsidP="008C689C">
      <w:pPr>
        <w:jc w:val="both"/>
        <w:rPr>
          <w:bCs/>
          <w:i/>
          <w:sz w:val="20"/>
          <w:szCs w:val="20"/>
        </w:rPr>
      </w:pPr>
    </w:p>
    <w:p w14:paraId="36C4D579" w14:textId="77777777" w:rsidR="009A6E5B" w:rsidRPr="009A6E5B" w:rsidRDefault="009A6E5B" w:rsidP="008C689C">
      <w:pPr>
        <w:jc w:val="both"/>
        <w:rPr>
          <w:bCs/>
          <w:i/>
          <w:sz w:val="20"/>
          <w:szCs w:val="20"/>
        </w:rPr>
      </w:pPr>
      <w:r w:rsidRPr="009A6E5B">
        <w:rPr>
          <w:bCs/>
          <w:i/>
          <w:sz w:val="20"/>
          <w:szCs w:val="20"/>
        </w:rPr>
        <w:t>Aliance pro bezemisní budoucnost - Asociace pro akumulaci energie AKU-BAT CZ - Asociace výrobců minerální izolace - COGEN Czech - sdružení pro kombinovanou výrobu elektřiny a tepla - CZ Biom - Elektromobilní Platforma - Solární asociace - Svaz moderní energetiky - Unie zaměstnavatelských svazů ČR- Změna k lepšímu</w:t>
      </w:r>
    </w:p>
    <w:p w14:paraId="76B80862" w14:textId="77777777" w:rsidR="009A6E5B" w:rsidRPr="009A6E5B" w:rsidRDefault="009A6E5B" w:rsidP="008C689C">
      <w:pPr>
        <w:jc w:val="both"/>
        <w:rPr>
          <w:b/>
          <w:iCs/>
        </w:rPr>
      </w:pPr>
    </w:p>
    <w:p w14:paraId="21C6FCEA" w14:textId="5A43D10F" w:rsidR="008D57F0" w:rsidRDefault="00E34374" w:rsidP="008C689C">
      <w:pPr>
        <w:jc w:val="both"/>
        <w:rPr>
          <w:rFonts w:asciiTheme="majorHAnsi" w:hAnsiTheme="majorHAnsi" w:cstheme="majorHAnsi"/>
          <w:b/>
          <w:color w:val="81B941"/>
          <w:sz w:val="36"/>
          <w:szCs w:val="36"/>
        </w:rPr>
      </w:pPr>
      <w:r w:rsidRPr="00E34374">
        <w:rPr>
          <w:rFonts w:asciiTheme="majorHAnsi" w:hAnsiTheme="majorHAnsi" w:cstheme="majorHAnsi"/>
          <w:b/>
          <w:color w:val="81B941"/>
          <w:sz w:val="36"/>
          <w:szCs w:val="36"/>
        </w:rPr>
        <w:t>Výzva Petru Fialovi: Energetická bezpečnost je v rukou vlády, firmy potřebují pro zajištění konkurenceschopnosti předvídatelnost a stabilitu</w:t>
      </w:r>
    </w:p>
    <w:p w14:paraId="3E62783C" w14:textId="77777777" w:rsidR="00E34374" w:rsidRPr="00010272" w:rsidRDefault="00E34374" w:rsidP="008C689C">
      <w:pPr>
        <w:jc w:val="both"/>
        <w:rPr>
          <w:rFonts w:asciiTheme="majorHAnsi" w:hAnsiTheme="majorHAnsi" w:cstheme="majorHAnsi"/>
          <w:b/>
          <w:i/>
        </w:rPr>
      </w:pPr>
    </w:p>
    <w:p w14:paraId="1DF7F7CD" w14:textId="35787CBA" w:rsidR="003B1146" w:rsidRPr="00010272" w:rsidRDefault="00010272" w:rsidP="008C689C">
      <w:pPr>
        <w:jc w:val="both"/>
        <w:rPr>
          <w:b/>
          <w:bCs/>
          <w:iCs/>
        </w:rPr>
      </w:pPr>
      <w:r w:rsidRPr="00010272">
        <w:rPr>
          <w:b/>
          <w:iCs/>
        </w:rPr>
        <w:t>Ministerstva obdržela otevřený dopis apelující na rychlou úpravu vnitrostátního plánu v oblasti energetiky a</w:t>
      </w:r>
      <w:r w:rsidRPr="00010272">
        <w:rPr>
          <w:b/>
          <w:bCs/>
          <w:iCs/>
        </w:rPr>
        <w:t xml:space="preserve"> klimatu</w:t>
      </w:r>
    </w:p>
    <w:p w14:paraId="613994CD" w14:textId="77777777" w:rsidR="008E5A75" w:rsidRPr="00010272" w:rsidRDefault="008E5A75" w:rsidP="008C689C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770BCF5" w14:textId="7DE59B3A" w:rsidR="008E5A75" w:rsidRPr="00010272" w:rsidRDefault="008E5A75" w:rsidP="008C689C">
      <w:pPr>
        <w:jc w:val="both"/>
        <w:rPr>
          <w:rFonts w:asciiTheme="majorHAnsi" w:hAnsiTheme="majorHAnsi" w:cstheme="majorHAnsi"/>
          <w:i/>
          <w:iCs/>
          <w:color w:val="666666"/>
          <w:sz w:val="16"/>
          <w:szCs w:val="16"/>
        </w:rPr>
      </w:pPr>
      <w:r w:rsidRPr="00010272">
        <w:rPr>
          <w:rFonts w:asciiTheme="majorHAnsi" w:hAnsiTheme="majorHAnsi" w:cstheme="majorHAnsi"/>
          <w:i/>
          <w:iCs/>
          <w:color w:val="666666"/>
          <w:sz w:val="16"/>
          <w:szCs w:val="16"/>
        </w:rPr>
        <w:t xml:space="preserve">Praha, </w:t>
      </w:r>
      <w:r w:rsidR="009D7ABE">
        <w:rPr>
          <w:rFonts w:asciiTheme="majorHAnsi" w:hAnsiTheme="majorHAnsi" w:cstheme="majorHAnsi"/>
          <w:i/>
          <w:iCs/>
          <w:color w:val="666666"/>
          <w:sz w:val="16"/>
          <w:szCs w:val="16"/>
        </w:rPr>
        <w:t>2</w:t>
      </w:r>
      <w:r w:rsidRPr="00010272">
        <w:rPr>
          <w:rFonts w:asciiTheme="majorHAnsi" w:hAnsiTheme="majorHAnsi" w:cstheme="majorHAnsi"/>
          <w:i/>
          <w:iCs/>
          <w:color w:val="666666"/>
          <w:sz w:val="16"/>
          <w:szCs w:val="16"/>
        </w:rPr>
        <w:t xml:space="preserve">1. </w:t>
      </w:r>
      <w:r w:rsidR="009D7ABE">
        <w:rPr>
          <w:rFonts w:asciiTheme="majorHAnsi" w:hAnsiTheme="majorHAnsi" w:cstheme="majorHAnsi"/>
          <w:i/>
          <w:iCs/>
          <w:color w:val="666666"/>
          <w:sz w:val="16"/>
          <w:szCs w:val="16"/>
        </w:rPr>
        <w:t>srpna</w:t>
      </w:r>
      <w:r w:rsidRPr="00010272">
        <w:rPr>
          <w:rFonts w:asciiTheme="majorHAnsi" w:hAnsiTheme="majorHAnsi" w:cstheme="majorHAnsi"/>
          <w:i/>
          <w:iCs/>
          <w:color w:val="666666"/>
          <w:sz w:val="16"/>
          <w:szCs w:val="16"/>
        </w:rPr>
        <w:t xml:space="preserve"> 2024</w:t>
      </w:r>
    </w:p>
    <w:p w14:paraId="0F2090A4" w14:textId="77777777" w:rsidR="008E5A75" w:rsidRPr="00010272" w:rsidRDefault="008E5A75" w:rsidP="008C689C">
      <w:pPr>
        <w:jc w:val="both"/>
        <w:rPr>
          <w:rFonts w:asciiTheme="majorHAnsi" w:hAnsiTheme="majorHAnsi" w:cstheme="majorHAnsi"/>
          <w:i/>
          <w:iCs/>
          <w:color w:val="666666"/>
          <w:sz w:val="14"/>
          <w:szCs w:val="14"/>
        </w:rPr>
      </w:pPr>
    </w:p>
    <w:p w14:paraId="41FB0BEB" w14:textId="77777777" w:rsidR="009D7ABE" w:rsidRPr="009D7ABE" w:rsidRDefault="009D7ABE" w:rsidP="008C689C">
      <w:pPr>
        <w:jc w:val="both"/>
        <w:rPr>
          <w:rFonts w:eastAsia="Arial"/>
        </w:rPr>
      </w:pPr>
      <w:r w:rsidRPr="009D7ABE">
        <w:rPr>
          <w:rFonts w:eastAsia="Arial"/>
        </w:rPr>
        <w:t>Přední oborové organizace v oblasti moderní energetiky podpořené Unií zaměstnavatelských svazů, které reprezentují desítky tisíc pracovních míst a tisíce firem, společně vyzvaly předsedu vlády Petra Fialu, aby vláda neotálela při schvalování klíčových strategií pro dekarbonizaci české ekonomiky. Přijetí Vnitrostátního plánu České republiky v oblasti energetiky a klimatu s cíli do roku 2030, nové Státní energetické koncepce, Politiky ochrany klimatu a dalších strategií, které rozpracovávají konkrétní opatření například pro oblast dopravy pomohou Česku nastavit jasný směr a předvídatelné podmínky. Pokud se naopak Česko v dekarbonizaci opozdí, může to v budoucnu znamenat drahou energii pro tuzemské spotřebitele i ohrožení pracovních míst.</w:t>
      </w:r>
    </w:p>
    <w:p w14:paraId="5705165A" w14:textId="77777777" w:rsidR="009D7ABE" w:rsidRPr="009D7ABE" w:rsidRDefault="009D7ABE" w:rsidP="008C689C">
      <w:pPr>
        <w:jc w:val="both"/>
        <w:rPr>
          <w:rFonts w:eastAsia="Arial"/>
        </w:rPr>
      </w:pPr>
    </w:p>
    <w:p w14:paraId="79376EAE" w14:textId="77777777" w:rsidR="009D7ABE" w:rsidRPr="009D7ABE" w:rsidRDefault="009D7ABE" w:rsidP="008C689C">
      <w:pPr>
        <w:jc w:val="both"/>
        <w:rPr>
          <w:rFonts w:eastAsia="Arial"/>
        </w:rPr>
      </w:pPr>
      <w:r w:rsidRPr="009D7ABE">
        <w:rPr>
          <w:rFonts w:eastAsia="Arial"/>
        </w:rPr>
        <w:t>Společnou výzvu zaštítily Aliance pro bezemisní budoucnost, Asociace pro akumulaci energie AKU-BAT CZ, Asociace výrobců minerální izolace, COGEN Czech - sdružení pro kombinovanou výrobu elektřiny a tepla, CZ Biom, Elektromobilní Platforma, Solární asociace, Svaz moderní energetiky, Unie zaměstnavatelských svazů ČR a Změna k lepšímu. Společně ve výzvě připomínají, že:</w:t>
      </w:r>
    </w:p>
    <w:p w14:paraId="5E9E104E" w14:textId="77777777" w:rsidR="009D7ABE" w:rsidRPr="009D7ABE" w:rsidRDefault="009D7ABE" w:rsidP="008C689C">
      <w:pPr>
        <w:jc w:val="both"/>
        <w:rPr>
          <w:rFonts w:eastAsia="Arial"/>
        </w:rPr>
      </w:pPr>
    </w:p>
    <w:p w14:paraId="70E46D5B" w14:textId="77777777" w:rsidR="009D7ABE" w:rsidRPr="006D2421" w:rsidRDefault="009D7ABE" w:rsidP="008C689C">
      <w:pPr>
        <w:pStyle w:val="Odstavecseseznamem"/>
        <w:numPr>
          <w:ilvl w:val="0"/>
          <w:numId w:val="4"/>
        </w:numPr>
        <w:jc w:val="both"/>
        <w:rPr>
          <w:rFonts w:eastAsia="Arial"/>
        </w:rPr>
      </w:pPr>
      <w:r w:rsidRPr="006D2421">
        <w:rPr>
          <w:rFonts w:eastAsia="Arial"/>
        </w:rPr>
        <w:t>Česká republika potřebuje dohnat zpoždění v rozvoji obnovitelných zdrojů energie i v obnově fondu budov tak, aby dokázala zajistit dostatek energie za konkurenceschopné ceny pro podniky i pro domácnosti.</w:t>
      </w:r>
    </w:p>
    <w:p w14:paraId="064420EA" w14:textId="77777777" w:rsidR="009D7ABE" w:rsidRPr="006D2421" w:rsidRDefault="009D7ABE" w:rsidP="008C689C">
      <w:pPr>
        <w:pStyle w:val="Odstavecseseznamem"/>
        <w:numPr>
          <w:ilvl w:val="0"/>
          <w:numId w:val="4"/>
        </w:numPr>
        <w:jc w:val="both"/>
        <w:rPr>
          <w:rFonts w:eastAsia="Arial"/>
        </w:rPr>
      </w:pPr>
      <w:r w:rsidRPr="006D2421">
        <w:rPr>
          <w:rFonts w:eastAsia="Arial"/>
        </w:rPr>
        <w:t>Z pohledu průmyslu je rok 2030 skutečně za rohem a je třeba postupovat aktivně a schvalování základních koncepčních materiálů neprotahovat.</w:t>
      </w:r>
    </w:p>
    <w:p w14:paraId="7EAF775D" w14:textId="77777777" w:rsidR="009D7ABE" w:rsidRPr="006D2421" w:rsidRDefault="009D7ABE" w:rsidP="008C689C">
      <w:pPr>
        <w:pStyle w:val="Odstavecseseznamem"/>
        <w:numPr>
          <w:ilvl w:val="0"/>
          <w:numId w:val="4"/>
        </w:numPr>
        <w:jc w:val="both"/>
        <w:rPr>
          <w:rFonts w:eastAsia="Arial"/>
        </w:rPr>
      </w:pPr>
      <w:r w:rsidRPr="006D2421">
        <w:rPr>
          <w:rFonts w:eastAsia="Arial"/>
        </w:rPr>
        <w:t>Včasné přijetí klíčových strategií je důležité také pro přípravu konkrétních průmyslových oborů na nastupující dekarbonizaci a udržení kroku se zahraniční konkurencí.</w:t>
      </w:r>
    </w:p>
    <w:p w14:paraId="2C831A21" w14:textId="004E5E08" w:rsidR="006D2421" w:rsidRDefault="009D7ABE" w:rsidP="008C689C">
      <w:pPr>
        <w:pStyle w:val="Odstavecseseznamem"/>
        <w:numPr>
          <w:ilvl w:val="0"/>
          <w:numId w:val="4"/>
        </w:numPr>
        <w:jc w:val="both"/>
        <w:rPr>
          <w:rFonts w:eastAsia="Arial"/>
        </w:rPr>
      </w:pPr>
      <w:r w:rsidRPr="006D2421">
        <w:rPr>
          <w:rFonts w:eastAsia="Arial"/>
        </w:rPr>
        <w:t>V případě nezachycení trendu bezemisní ekonomiky v podobě nástupu zelených technologií, elektromobility, digitalizace, úspor energie a sektorů s vyšší přidanou hodnotou může dojít k negativním dopadům na tuzemskou bilanci zahraničního obchodu a odlivu kapitálu do zemí, které vytvoří vhodnější podmínky.</w:t>
      </w:r>
    </w:p>
    <w:p w14:paraId="597A18AB" w14:textId="77777777" w:rsidR="006D2421" w:rsidRDefault="006D2421" w:rsidP="008C689C">
      <w:pPr>
        <w:jc w:val="both"/>
        <w:rPr>
          <w:rFonts w:eastAsia="Arial"/>
        </w:rPr>
      </w:pPr>
      <w:r>
        <w:rPr>
          <w:rFonts w:eastAsia="Arial"/>
        </w:rPr>
        <w:br w:type="page"/>
      </w:r>
    </w:p>
    <w:p w14:paraId="3773C4DD" w14:textId="77777777" w:rsidR="009D7ABE" w:rsidRPr="0004347F" w:rsidRDefault="009D7ABE" w:rsidP="008C689C">
      <w:pPr>
        <w:jc w:val="both"/>
        <w:rPr>
          <w:rFonts w:eastAsia="Arial"/>
          <w:b/>
          <w:bCs/>
        </w:rPr>
      </w:pPr>
      <w:r w:rsidRPr="00012AFA">
        <w:rPr>
          <w:rFonts w:eastAsia="Arial"/>
          <w:i/>
          <w:iCs/>
        </w:rPr>
        <w:lastRenderedPageBreak/>
        <w:t>“Česká vláda čelila bezprecedentní energetické krizi vyvolané ruským útokem na Ukrajinu i ekonomickým tlakem na Evropu v podobě omezení dodávek zemního plynu. Oceňujeme jasné kroky, kterými právě tato vláda připravila půdu pro energetickou transformaci: od zavedení komunitní energetiky přes podporu nových solárních elektráren po zajištění dodávek plynu. Bylo by škoda, pokud by vládě v posledním roce došel inovační potenciál, a nepřijala klíčové strategie pro přechod na nízkoemisní a výhledově také bezemisní ekonomiku. V sázce jsou stovky tisíc pracovních příležitostí i dostupné ceny pro české podniky a domácností,” upozorňuje Martin Sedlák, programový ředitel Svazu moderní energetiky. “Více bezemisní energie z obnovitelných zdrojů přinese Česku nezávislost na dovozu fosilních paliv, levnou energii pro dekarbonizaci ekonomiky i výhodná řešení pro energetickou soběstačnost domácností,”</w:t>
      </w:r>
      <w:r w:rsidRPr="009D7ABE">
        <w:rPr>
          <w:rFonts w:eastAsia="Arial"/>
        </w:rPr>
        <w:t xml:space="preserve"> </w:t>
      </w:r>
      <w:r w:rsidRPr="0004347F">
        <w:rPr>
          <w:rFonts w:eastAsia="Arial"/>
          <w:b/>
          <w:bCs/>
        </w:rPr>
        <w:t>dodává Martin Sedlák konkrétní přínosy plnění dekarbonizačních strategií pro spotřebitele.</w:t>
      </w:r>
    </w:p>
    <w:p w14:paraId="6F5410B3" w14:textId="77777777" w:rsidR="009D7ABE" w:rsidRPr="009D7ABE" w:rsidRDefault="009D7ABE" w:rsidP="008C689C">
      <w:pPr>
        <w:jc w:val="both"/>
        <w:rPr>
          <w:rFonts w:eastAsia="Arial"/>
        </w:rPr>
      </w:pPr>
    </w:p>
    <w:p w14:paraId="071188A2" w14:textId="77777777" w:rsidR="009D7ABE" w:rsidRPr="0004347F" w:rsidRDefault="009D7ABE" w:rsidP="008C689C">
      <w:pPr>
        <w:jc w:val="both"/>
        <w:rPr>
          <w:rFonts w:eastAsia="Arial"/>
          <w:b/>
          <w:bCs/>
        </w:rPr>
      </w:pPr>
      <w:r w:rsidRPr="00012AFA">
        <w:rPr>
          <w:rFonts w:eastAsia="Arial"/>
          <w:i/>
          <w:iCs/>
        </w:rPr>
        <w:t>„České firmy aktivně podporují investice do zelené energie a myšlenku dekarbonizace, ať už investice poskytují, nebo dekarbonizační strategie implementují. Poptávka po obnovitelných zdrojích roste a mnoho podniků plánuje přechod na čisté technologie, aby splnily své dekarbonizační cíle a zároveň posílily vlastní konkurenceschopnost. Navýšení podílu obnovitelných zdrojů energie je tedy klíčové i pro český byznys. Čím dříve padne rozhodnutí o představě cíle do roku 2030, tím se lépe mohou přizpůsobit plány investic firem a stát může připravit podpůrné mechanismy na jejich podporu,”</w:t>
      </w:r>
      <w:r w:rsidRPr="009D7ABE">
        <w:rPr>
          <w:rFonts w:eastAsia="Arial"/>
        </w:rPr>
        <w:t xml:space="preserve"> </w:t>
      </w:r>
      <w:r w:rsidRPr="0004347F">
        <w:rPr>
          <w:rFonts w:eastAsia="Arial"/>
          <w:b/>
          <w:bCs/>
        </w:rPr>
        <w:t>připomíná Jana Morávková, ředitelka Aliance pro bezemisní budoucnost.</w:t>
      </w:r>
    </w:p>
    <w:p w14:paraId="46B36E04" w14:textId="77777777" w:rsidR="009D7ABE" w:rsidRPr="009D7ABE" w:rsidRDefault="009D7ABE" w:rsidP="008C689C">
      <w:pPr>
        <w:jc w:val="both"/>
        <w:rPr>
          <w:rFonts w:eastAsia="Arial"/>
        </w:rPr>
      </w:pPr>
    </w:p>
    <w:p w14:paraId="6C906E03" w14:textId="2B4E7854" w:rsidR="009D7ABE" w:rsidRPr="0004347F" w:rsidRDefault="009D7ABE" w:rsidP="008C689C">
      <w:pPr>
        <w:jc w:val="both"/>
        <w:rPr>
          <w:rFonts w:eastAsia="Arial"/>
          <w:b/>
          <w:bCs/>
        </w:rPr>
      </w:pPr>
      <w:r w:rsidRPr="00012AFA">
        <w:rPr>
          <w:rFonts w:eastAsia="Arial"/>
          <w:i/>
          <w:iCs/>
        </w:rPr>
        <w:t>“Strategické dokumenty jsou klíčovým vodítkem, podle kterého mohou firmy odhadovat další vývoj energetického mixu v ČR a plánovat své investice. Předvídatelnost budoucího politického vývoje je pro celou společnost, a zejména pro byznys, klíčová,” říká Jenda Perla, ředitel byznysové platformy Změna k lepšímu. “Významné zdržení nebo nejasné politické signály mohou přijít český byznys velmi draho. Odhadované náklady na dekarbonizaci a adaptační opatření se pohybují mezi 1-1,5 bilionem korun jen do roku 2030 – byznys je připraven se na těchto nákladech podílet, jen potřebuje jasně narýsovanou cestu vpřed,”</w:t>
      </w:r>
      <w:r w:rsidRPr="009D7ABE">
        <w:rPr>
          <w:rFonts w:eastAsia="Arial"/>
        </w:rPr>
        <w:t xml:space="preserve"> </w:t>
      </w:r>
      <w:r w:rsidRPr="0004347F">
        <w:rPr>
          <w:rFonts w:eastAsia="Arial"/>
          <w:b/>
          <w:bCs/>
        </w:rPr>
        <w:t>dodává Perla.</w:t>
      </w:r>
    </w:p>
    <w:p w14:paraId="7BD94BC4" w14:textId="77777777" w:rsidR="009D7ABE" w:rsidRPr="009D7ABE" w:rsidRDefault="009D7ABE" w:rsidP="008C689C">
      <w:pPr>
        <w:jc w:val="both"/>
        <w:rPr>
          <w:rFonts w:eastAsia="Arial"/>
        </w:rPr>
      </w:pPr>
    </w:p>
    <w:p w14:paraId="5A3CA6F2" w14:textId="77777777" w:rsidR="009D7ABE" w:rsidRPr="0004347F" w:rsidRDefault="009D7ABE" w:rsidP="008C689C">
      <w:pPr>
        <w:jc w:val="both"/>
        <w:rPr>
          <w:rFonts w:eastAsia="Arial"/>
          <w:b/>
          <w:bCs/>
        </w:rPr>
      </w:pPr>
      <w:r w:rsidRPr="00012AFA">
        <w:rPr>
          <w:rFonts w:eastAsia="Arial"/>
          <w:i/>
          <w:iCs/>
        </w:rPr>
        <w:t>“Odklon teplárenství od uhlí a zvyšující se poptávka po flexibilitě a decentralizaci dělá z kogenerace nezbytnou součást energetického mixu. Její význam je zdůrazněn i v Vnitrostátním plánu České republiky v oblasti energetiky a klimatu, který stanovil potenciál rozvoje malé KVET pod 5 MW do roku 2030 na 830 MW. Pro naplnění těchto ambiciózních cílů je nezbytné rychle nastavit legislativní rámec, který zajistí stabilitu budoucím investicím a přinese větší jasnost ohledně finanční podpory po roce 2026,”</w:t>
      </w:r>
      <w:r w:rsidRPr="009D7ABE">
        <w:rPr>
          <w:rFonts w:eastAsia="Arial"/>
        </w:rPr>
        <w:t xml:space="preserve"> </w:t>
      </w:r>
      <w:r w:rsidRPr="0004347F">
        <w:rPr>
          <w:rFonts w:eastAsia="Arial"/>
          <w:b/>
          <w:bCs/>
        </w:rPr>
        <w:t xml:space="preserve">uvádí Lukáš Dobeš, předseda rady </w:t>
      </w:r>
      <w:proofErr w:type="spellStart"/>
      <w:r w:rsidRPr="0004347F">
        <w:rPr>
          <w:rFonts w:eastAsia="Arial"/>
          <w:b/>
          <w:bCs/>
        </w:rPr>
        <w:t>Cogen</w:t>
      </w:r>
      <w:proofErr w:type="spellEnd"/>
      <w:r w:rsidRPr="0004347F">
        <w:rPr>
          <w:rFonts w:eastAsia="Arial"/>
          <w:b/>
          <w:bCs/>
        </w:rPr>
        <w:t xml:space="preserve"> Czech.</w:t>
      </w:r>
    </w:p>
    <w:p w14:paraId="63DD7EC8" w14:textId="77777777" w:rsidR="009D7ABE" w:rsidRPr="009D7ABE" w:rsidRDefault="009D7ABE" w:rsidP="008C689C">
      <w:pPr>
        <w:jc w:val="both"/>
        <w:rPr>
          <w:rFonts w:eastAsia="Arial"/>
        </w:rPr>
      </w:pPr>
    </w:p>
    <w:p w14:paraId="4355BBF0" w14:textId="044CB9FA" w:rsidR="0004347F" w:rsidRDefault="009D7ABE" w:rsidP="008C689C">
      <w:pPr>
        <w:jc w:val="both"/>
        <w:rPr>
          <w:rFonts w:eastAsia="Arial"/>
          <w:b/>
          <w:bCs/>
        </w:rPr>
      </w:pPr>
      <w:r w:rsidRPr="00012AFA">
        <w:rPr>
          <w:rFonts w:eastAsia="Arial"/>
          <w:i/>
          <w:iCs/>
        </w:rPr>
        <w:t>“Biometan může nahradit až 10 % spotřeby zemního plynu, jedná se obnovitelný zdroj, který je možné skladovat a tím doplnit ostatní OZE o požadovanou flexibilitu nebo je lze použít v bezemisní dopravě. Vláda by měla zejména schválit rámec podpory a trajektorie růstu na období 2026 - 2030”</w:t>
      </w:r>
      <w:r w:rsidRPr="009D7ABE">
        <w:rPr>
          <w:rFonts w:eastAsia="Arial"/>
        </w:rPr>
        <w:t xml:space="preserve"> </w:t>
      </w:r>
      <w:r w:rsidRPr="0004347F">
        <w:rPr>
          <w:rFonts w:eastAsia="Arial"/>
          <w:b/>
          <w:bCs/>
        </w:rPr>
        <w:t>řekl Jan Habart, předseda sdružení CZ Biom.</w:t>
      </w:r>
    </w:p>
    <w:p w14:paraId="0E8755EF" w14:textId="77777777" w:rsidR="0004347F" w:rsidRDefault="0004347F" w:rsidP="008C689C">
      <w:pPr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br w:type="page"/>
      </w:r>
    </w:p>
    <w:p w14:paraId="6779B1DF" w14:textId="77777777" w:rsidR="009D7ABE" w:rsidRPr="007F77AF" w:rsidRDefault="009D7ABE" w:rsidP="008C689C">
      <w:pPr>
        <w:jc w:val="both"/>
        <w:rPr>
          <w:rFonts w:eastAsia="Arial"/>
          <w:b/>
          <w:bCs/>
        </w:rPr>
      </w:pPr>
      <w:r w:rsidRPr="00012AFA">
        <w:rPr>
          <w:rFonts w:eastAsia="Arial"/>
          <w:i/>
          <w:iCs/>
        </w:rPr>
        <w:lastRenderedPageBreak/>
        <w:t>“Ceníme si přístupu vlády k rozvoji obnovitelných zdrojů a akumulace energie, což byla v Česku dlouhodobě podceňovaná témata. Dnes vidíme, že většina zemí Evropy masivně investuje do výstavby bateriových úložišť a dalších decentrálních zdrojů flexibility. Tyto moderní a jednoduše řiditelné technologie významně přispívají k úspěšné dekarbonizaci české ekonomiky a bezpečnému rozvoji OZE. Akumulace i flexibilita by rovněž měly být důležitou součástí strategických plánů Česka v oblasti energetiky, což vyžaduje i legislativa EU. Věříme proto, že vláda s přijetím těchto dokumentů či dokončením deklarovaných úprav energetického zákona nebude dále otálet,”</w:t>
      </w:r>
      <w:r w:rsidRPr="009D7ABE">
        <w:rPr>
          <w:rFonts w:eastAsia="Arial"/>
        </w:rPr>
        <w:t xml:space="preserve"> </w:t>
      </w:r>
      <w:r w:rsidRPr="007F77AF">
        <w:rPr>
          <w:rFonts w:eastAsia="Arial"/>
          <w:b/>
          <w:bCs/>
        </w:rPr>
        <w:t>říká Jan Fousek, ředitel Asociace pro akumulaci energie AKU-BAT CZ.</w:t>
      </w:r>
    </w:p>
    <w:p w14:paraId="7C19AD3F" w14:textId="77777777" w:rsidR="0004347F" w:rsidRPr="009D7ABE" w:rsidRDefault="0004347F" w:rsidP="008C689C">
      <w:pPr>
        <w:jc w:val="both"/>
        <w:rPr>
          <w:rFonts w:eastAsia="Arial"/>
        </w:rPr>
      </w:pPr>
    </w:p>
    <w:p w14:paraId="1426AEEF" w14:textId="6066E92C" w:rsidR="00010272" w:rsidRPr="007F77AF" w:rsidRDefault="009D7ABE" w:rsidP="008C689C">
      <w:pPr>
        <w:jc w:val="both"/>
        <w:rPr>
          <w:rFonts w:eastAsia="Arial"/>
          <w:b/>
          <w:bCs/>
        </w:rPr>
      </w:pPr>
      <w:r w:rsidRPr="009D7ABE">
        <w:rPr>
          <w:rFonts w:eastAsia="Arial"/>
        </w:rPr>
        <w:t xml:space="preserve">Výzvu podporují také firmy podílející se na obnově budov, především jejich zateplování a snižování energetické náročnosti sdružení v Asociaci výrobců minerální izolace. </w:t>
      </w:r>
      <w:r w:rsidRPr="00012AFA">
        <w:rPr>
          <w:rFonts w:eastAsia="Arial"/>
          <w:i/>
          <w:iCs/>
        </w:rPr>
        <w:t>“Obnově budov je ve strategických dokumentech věnovaná velká část pozornosti. Tempo renovací je pomalé a aktualizované strategie nám ukazují na co se soustředit, aby české domácnosti i firmy měly v budoucnu dostatek energie za dostupné ceny. Výroba tepelných izolací, které jsou hlavním komponentem pro snižování energetické náročnosti budov, probíhá v Česku a jsou na ní navázané tisíce firem a řádově více řemeslníků. Odkládání schválení strategií znamená přešlapování na místě. Jedná se o aktualizace, které musíme udělat tak jako tak. Jejich doplnění a úpravu pochopitelně očekáváme,</w:t>
      </w:r>
      <w:r w:rsidR="008C689C" w:rsidRPr="00012AFA">
        <w:rPr>
          <w:rFonts w:eastAsia="Arial"/>
          <w:i/>
          <w:iCs/>
        </w:rPr>
        <w:t>“</w:t>
      </w:r>
      <w:r w:rsidRPr="007F77AF">
        <w:rPr>
          <w:rFonts w:eastAsia="Arial"/>
          <w:b/>
          <w:bCs/>
        </w:rPr>
        <w:t xml:space="preserve"> dodává Marcela Kubů, výkonná ředitelka Asociace výrobců minerální izolace.</w:t>
      </w:r>
    </w:p>
    <w:p w14:paraId="53B40683" w14:textId="77777777" w:rsidR="009D7ABE" w:rsidRPr="00010272" w:rsidRDefault="009D7ABE" w:rsidP="008C689C">
      <w:pPr>
        <w:jc w:val="both"/>
        <w:rPr>
          <w:rFonts w:asciiTheme="majorHAnsi" w:eastAsia="Arial" w:hAnsiTheme="majorHAnsi" w:cstheme="majorHAnsi"/>
        </w:rPr>
      </w:pPr>
    </w:p>
    <w:p w14:paraId="5AF50A52" w14:textId="253D8D78" w:rsidR="006C38CA" w:rsidRDefault="009E316F" w:rsidP="008C689C">
      <w:pPr>
        <w:jc w:val="both"/>
        <w:rPr>
          <w:rFonts w:eastAsia="Arial"/>
        </w:rPr>
      </w:pPr>
      <w:r>
        <w:rPr>
          <w:rFonts w:asciiTheme="majorHAnsi" w:eastAsia="Arial" w:hAnsiTheme="majorHAnsi" w:cstheme="maj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E9C678" wp14:editId="397C0639">
                <wp:simplePos x="0" y="0"/>
                <wp:positionH relativeFrom="margin">
                  <wp:posOffset>2708910</wp:posOffset>
                </wp:positionH>
                <wp:positionV relativeFrom="paragraph">
                  <wp:posOffset>157480</wp:posOffset>
                </wp:positionV>
                <wp:extent cx="1041009" cy="316523"/>
                <wp:effectExtent l="57150" t="19050" r="83185" b="102870"/>
                <wp:wrapNone/>
                <wp:docPr id="1271129762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009" cy="316523"/>
                          <a:chOff x="0" y="0"/>
                          <a:chExt cx="1041009" cy="316523"/>
                        </a:xfrm>
                      </wpg:grpSpPr>
                      <wps:wsp>
                        <wps:cNvPr id="86133210" name="Obdélník: se zakulacenými rohy 1"/>
                        <wps:cNvSpPr/>
                        <wps:spPr>
                          <a:xfrm>
                            <a:off x="0" y="0"/>
                            <a:ext cx="1041009" cy="316523"/>
                          </a:xfrm>
                          <a:prstGeom prst="roundRect">
                            <a:avLst/>
                          </a:prstGeom>
                          <a:solidFill>
                            <a:srgbClr val="84BE3F"/>
                          </a:solidFill>
                          <a:ln>
                            <a:solidFill>
                              <a:srgbClr val="84BE3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4488176" name="Textové pole 2"/>
                        <wps:cNvSpPr txBox="1"/>
                        <wps:spPr>
                          <a:xfrm>
                            <a:off x="160900" y="30187"/>
                            <a:ext cx="717452" cy="253218"/>
                          </a:xfrm>
                          <a:prstGeom prst="rect">
                            <a:avLst/>
                          </a:prstGeom>
                          <a:solidFill>
                            <a:srgbClr val="84BE3F"/>
                          </a:solidFill>
                          <a:ln w="6350">
                            <a:solidFill>
                              <a:srgbClr val="84BE3F"/>
                            </a:solidFill>
                          </a:ln>
                        </wps:spPr>
                        <wps:txbx>
                          <w:txbxContent>
                            <w:p w14:paraId="4ACD5CB6" w14:textId="113E35E5" w:rsidR="00BA364F" w:rsidRDefault="009E53FC" w:rsidP="00BA364F">
                              <w:pPr>
                                <w:jc w:val="center"/>
                              </w:pPr>
                              <w:hyperlink r:id="rId12" w:history="1">
                                <w:r w:rsidR="00BA364F" w:rsidRPr="001671DA">
                                  <w:rPr>
                                    <w:rStyle w:val="Hypertextovodkaz"/>
                                  </w:rPr>
                                  <w:t>ZDE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9C678" id="Skupina 3" o:spid="_x0000_s1026" style="position:absolute;left:0;text-align:left;margin-left:213.3pt;margin-top:12.4pt;width:81.95pt;height:24.9pt;z-index:251658240;mso-position-horizontal-relative:margin" coordsize="10410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">
                <v:roundrect id="Obdélník: se zakulacenými rohy 1" o:spid="_x0000_s1027" style="position:absolute;width:10410;height:31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" fillcolor="#84be3f" strokecolor="#84be3f">
                  <v:shadow on="t" color="black" opacity="22937f" origin=",.5" offset="0,.63889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1609;top:301;width:7174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" fillcolor="#84be3f" strokecolor="#84be3f" strokeweight=".5pt">
                  <v:textbox>
                    <w:txbxContent>
                      <w:p w14:paraId="4ACD5CB6" w14:textId="113E35E5" w:rsidR="00BA364F" w:rsidRDefault="009E53FC" w:rsidP="00BA364F">
                        <w:pPr>
                          <w:jc w:val="center"/>
                        </w:pPr>
                        <w:hyperlink r:id="rId13" w:history="1">
                          <w:r w:rsidR="00BA364F" w:rsidRPr="001671DA">
                            <w:rPr>
                              <w:rStyle w:val="Hypertextovodkaz"/>
                            </w:rPr>
                            <w:t>ZDE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387AD36" w14:textId="0526314A" w:rsidR="00F901B3" w:rsidRDefault="00F901B3" w:rsidP="008C689C">
      <w:pPr>
        <w:jc w:val="both"/>
        <w:rPr>
          <w:rFonts w:asciiTheme="majorHAnsi" w:eastAsia="Arial" w:hAnsiTheme="majorHAnsi" w:cstheme="majorHAnsi"/>
          <w:b/>
          <w:bCs/>
          <w:color w:val="84BE3F"/>
          <w:sz w:val="32"/>
          <w:szCs w:val="32"/>
        </w:rPr>
      </w:pPr>
      <w:r w:rsidRPr="001671DA">
        <w:rPr>
          <w:rFonts w:asciiTheme="majorHAnsi" w:eastAsia="Arial" w:hAnsiTheme="majorHAnsi" w:cstheme="majorHAnsi"/>
          <w:b/>
          <w:bCs/>
          <w:color w:val="84BE3F"/>
          <w:sz w:val="32"/>
          <w:szCs w:val="32"/>
        </w:rPr>
        <w:t xml:space="preserve">Otevřený dopis naleznete </w:t>
      </w:r>
    </w:p>
    <w:p w14:paraId="039BAD5F" w14:textId="77777777" w:rsidR="009E316F" w:rsidRPr="001671DA" w:rsidRDefault="009E316F" w:rsidP="008C689C">
      <w:pPr>
        <w:jc w:val="both"/>
        <w:rPr>
          <w:rFonts w:asciiTheme="majorHAnsi" w:eastAsia="Arial" w:hAnsiTheme="majorHAnsi" w:cstheme="majorHAnsi"/>
          <w:b/>
          <w:bCs/>
          <w:sz w:val="32"/>
          <w:szCs w:val="32"/>
        </w:rPr>
      </w:pPr>
    </w:p>
    <w:p w14:paraId="7F2D03EC" w14:textId="77777777" w:rsidR="000E6430" w:rsidRDefault="000E6430" w:rsidP="008C689C">
      <w:pPr>
        <w:jc w:val="both"/>
        <w:rPr>
          <w:rFonts w:asciiTheme="majorHAnsi" w:eastAsia="Arial" w:hAnsiTheme="majorHAnsi" w:cstheme="majorHAnsi"/>
        </w:rPr>
      </w:pPr>
    </w:p>
    <w:p w14:paraId="24F54278" w14:textId="77777777" w:rsidR="004A2566" w:rsidRDefault="004A2566" w:rsidP="008C689C">
      <w:pPr>
        <w:jc w:val="both"/>
        <w:rPr>
          <w:rFonts w:asciiTheme="majorHAnsi" w:eastAsia="Arial" w:hAnsiTheme="majorHAnsi" w:cstheme="majorHAnsi"/>
        </w:rPr>
        <w:sectPr w:rsidR="004A2566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00DA50F3" w14:textId="77777777" w:rsidR="006A6067" w:rsidRPr="000E6430" w:rsidRDefault="006A6067" w:rsidP="006A6067">
      <w:pPr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0E6430">
        <w:rPr>
          <w:rFonts w:asciiTheme="majorHAnsi" w:eastAsia="Arial" w:hAnsiTheme="majorHAnsi" w:cstheme="majorHAnsi"/>
          <w:b/>
          <w:bCs/>
        </w:rPr>
        <w:t>Kontakty:</w:t>
      </w:r>
    </w:p>
    <w:p w14:paraId="4203C884" w14:textId="77777777" w:rsidR="006A6067" w:rsidRDefault="006A6067" w:rsidP="006A6067">
      <w:pPr>
        <w:rPr>
          <w:rFonts w:eastAsia="Arial"/>
          <w:color w:val="84BE3F"/>
          <w:sz w:val="20"/>
          <w:szCs w:val="20"/>
        </w:rPr>
      </w:pPr>
      <w:r w:rsidRPr="006C38CA">
        <w:rPr>
          <w:rFonts w:eastAsia="Arial"/>
          <w:color w:val="84BE3F"/>
          <w:sz w:val="20"/>
          <w:szCs w:val="20"/>
        </w:rPr>
        <w:t xml:space="preserve">Jana Morávková, </w:t>
      </w:r>
    </w:p>
    <w:p w14:paraId="52601BFF" w14:textId="316D1D24" w:rsidR="006A6067" w:rsidRPr="006C38CA" w:rsidRDefault="006A6067" w:rsidP="006A6067">
      <w:pPr>
        <w:rPr>
          <w:rFonts w:eastAsia="Arial"/>
          <w:color w:val="84BE3F"/>
          <w:sz w:val="20"/>
          <w:szCs w:val="20"/>
        </w:rPr>
      </w:pPr>
      <w:r w:rsidRPr="006C38CA">
        <w:rPr>
          <w:rFonts w:eastAsia="Arial"/>
          <w:color w:val="84BE3F"/>
          <w:sz w:val="20"/>
          <w:szCs w:val="20"/>
        </w:rPr>
        <w:t>ředitelka Aliance pro bezemisní budoucnost</w:t>
      </w:r>
    </w:p>
    <w:p w14:paraId="4BF17487" w14:textId="77777777" w:rsidR="006A6067" w:rsidRPr="006C38CA" w:rsidRDefault="006A6067" w:rsidP="006A6067">
      <w:pPr>
        <w:pStyle w:val="Bezmezer"/>
        <w:rPr>
          <w:sz w:val="20"/>
          <w:szCs w:val="20"/>
        </w:rPr>
      </w:pPr>
    </w:p>
    <w:p w14:paraId="437A0BCD" w14:textId="72FC92E6" w:rsidR="006A6067" w:rsidRDefault="006A6067" w:rsidP="006A6067">
      <w:pPr>
        <w:rPr>
          <w:rFonts w:eastAsia="Arial"/>
          <w:color w:val="84BE3F"/>
          <w:sz w:val="20"/>
          <w:szCs w:val="20"/>
        </w:rPr>
      </w:pPr>
      <w:r>
        <w:rPr>
          <w:rFonts w:eastAsia="Arial"/>
          <w:color w:val="84BE3F"/>
          <w:sz w:val="20"/>
          <w:szCs w:val="20"/>
        </w:rPr>
        <w:t>Jan Fousek</w:t>
      </w:r>
      <w:r w:rsidR="00232B2A">
        <w:rPr>
          <w:rFonts w:eastAsia="Arial"/>
          <w:color w:val="84BE3F"/>
          <w:sz w:val="20"/>
          <w:szCs w:val="20"/>
        </w:rPr>
        <w:t>,</w:t>
      </w:r>
    </w:p>
    <w:p w14:paraId="0763CCF1" w14:textId="2DE95204" w:rsidR="006A6067" w:rsidRDefault="00232B2A" w:rsidP="006A6067">
      <w:pPr>
        <w:rPr>
          <w:rFonts w:eastAsia="Arial"/>
          <w:color w:val="84BE3F"/>
          <w:sz w:val="20"/>
          <w:szCs w:val="20"/>
        </w:rPr>
      </w:pPr>
      <w:r>
        <w:rPr>
          <w:rFonts w:eastAsia="Arial"/>
          <w:color w:val="84BE3F"/>
          <w:sz w:val="20"/>
          <w:szCs w:val="20"/>
        </w:rPr>
        <w:t>v</w:t>
      </w:r>
      <w:r w:rsidR="006A6067">
        <w:rPr>
          <w:rFonts w:eastAsia="Arial"/>
          <w:color w:val="84BE3F"/>
          <w:sz w:val="20"/>
          <w:szCs w:val="20"/>
        </w:rPr>
        <w:t>ýkonný ředitel Asociace pro akumulaci energie AKU-BAT CZ</w:t>
      </w:r>
    </w:p>
    <w:p w14:paraId="6C6D58B1" w14:textId="77777777" w:rsidR="006A6067" w:rsidRDefault="006A6067" w:rsidP="006A6067">
      <w:pPr>
        <w:rPr>
          <w:rFonts w:eastAsia="Arial"/>
          <w:color w:val="84BE3F"/>
          <w:sz w:val="20"/>
          <w:szCs w:val="20"/>
        </w:rPr>
      </w:pPr>
    </w:p>
    <w:p w14:paraId="1463BD19" w14:textId="5E9C6C2D" w:rsidR="006A6067" w:rsidRDefault="006A6067" w:rsidP="006A6067">
      <w:pPr>
        <w:rPr>
          <w:rFonts w:eastAsia="Arial"/>
          <w:color w:val="84BE3F"/>
          <w:sz w:val="20"/>
          <w:szCs w:val="20"/>
        </w:rPr>
      </w:pPr>
      <w:r>
        <w:rPr>
          <w:rFonts w:eastAsia="Arial"/>
          <w:color w:val="84BE3F"/>
          <w:sz w:val="20"/>
          <w:szCs w:val="20"/>
        </w:rPr>
        <w:t>Marcela Kubů</w:t>
      </w:r>
      <w:r w:rsidR="00232B2A">
        <w:rPr>
          <w:rFonts w:eastAsia="Arial"/>
          <w:color w:val="84BE3F"/>
          <w:sz w:val="20"/>
          <w:szCs w:val="20"/>
        </w:rPr>
        <w:t>,</w:t>
      </w:r>
    </w:p>
    <w:p w14:paraId="23301F3B" w14:textId="350C678E" w:rsidR="006A6067" w:rsidRDefault="00232B2A" w:rsidP="006A6067">
      <w:pPr>
        <w:rPr>
          <w:rFonts w:eastAsia="Arial"/>
          <w:color w:val="84BE3F"/>
          <w:sz w:val="20"/>
          <w:szCs w:val="20"/>
        </w:rPr>
      </w:pPr>
      <w:r>
        <w:rPr>
          <w:rFonts w:eastAsia="Arial"/>
          <w:color w:val="84BE3F"/>
          <w:sz w:val="20"/>
          <w:szCs w:val="20"/>
        </w:rPr>
        <w:t>v</w:t>
      </w:r>
      <w:r w:rsidR="006A6067">
        <w:rPr>
          <w:rFonts w:eastAsia="Arial"/>
          <w:color w:val="84BE3F"/>
          <w:sz w:val="20"/>
          <w:szCs w:val="20"/>
        </w:rPr>
        <w:t>ýkonná ředitelka Asociace výrobců minerální izolace</w:t>
      </w:r>
    </w:p>
    <w:p w14:paraId="48C5B672" w14:textId="77777777" w:rsidR="006A6067" w:rsidRDefault="006A6067" w:rsidP="006A6067">
      <w:pPr>
        <w:rPr>
          <w:rFonts w:eastAsia="Arial"/>
          <w:color w:val="84BE3F"/>
          <w:sz w:val="20"/>
          <w:szCs w:val="20"/>
        </w:rPr>
      </w:pPr>
    </w:p>
    <w:p w14:paraId="51AD4B4C" w14:textId="6AFC1FEB" w:rsidR="00232B2A" w:rsidRDefault="00232B2A" w:rsidP="00232B2A">
      <w:pPr>
        <w:rPr>
          <w:rFonts w:eastAsia="Arial"/>
          <w:color w:val="84BE3F"/>
          <w:sz w:val="20"/>
          <w:szCs w:val="20"/>
        </w:rPr>
      </w:pPr>
      <w:r>
        <w:rPr>
          <w:rFonts w:eastAsia="Arial"/>
          <w:color w:val="84BE3F"/>
          <w:sz w:val="20"/>
          <w:szCs w:val="20"/>
        </w:rPr>
        <w:t>Jiří Horecký,</w:t>
      </w:r>
    </w:p>
    <w:p w14:paraId="3416ECFC" w14:textId="6543E6C5" w:rsidR="00232B2A" w:rsidRDefault="00232B2A" w:rsidP="00232B2A">
      <w:pPr>
        <w:rPr>
          <w:rFonts w:eastAsia="Arial"/>
          <w:color w:val="84BE3F"/>
          <w:sz w:val="20"/>
          <w:szCs w:val="20"/>
        </w:rPr>
      </w:pPr>
      <w:r>
        <w:rPr>
          <w:rFonts w:eastAsia="Arial"/>
          <w:color w:val="84BE3F"/>
          <w:sz w:val="20"/>
          <w:szCs w:val="20"/>
        </w:rPr>
        <w:t>prezident Unie zaměstnavatelských svazů ČR</w:t>
      </w:r>
    </w:p>
    <w:p w14:paraId="6292A478" w14:textId="77777777" w:rsidR="00232B2A" w:rsidRDefault="00232B2A" w:rsidP="006A6067">
      <w:pPr>
        <w:rPr>
          <w:rFonts w:eastAsia="Arial"/>
          <w:color w:val="84BE3F"/>
          <w:sz w:val="20"/>
          <w:szCs w:val="20"/>
        </w:rPr>
      </w:pPr>
    </w:p>
    <w:p w14:paraId="0D9893D4" w14:textId="77777777" w:rsidR="00232B2A" w:rsidRDefault="00232B2A" w:rsidP="006A6067">
      <w:pPr>
        <w:rPr>
          <w:rFonts w:eastAsia="Arial"/>
          <w:color w:val="84BE3F"/>
          <w:sz w:val="20"/>
          <w:szCs w:val="20"/>
        </w:rPr>
      </w:pPr>
    </w:p>
    <w:p w14:paraId="79DE9088" w14:textId="78F8F652" w:rsidR="006A6067" w:rsidRDefault="006A6067" w:rsidP="006A6067">
      <w:pPr>
        <w:rPr>
          <w:rFonts w:eastAsia="Arial"/>
          <w:color w:val="84BE3F"/>
          <w:sz w:val="20"/>
          <w:szCs w:val="20"/>
        </w:rPr>
      </w:pPr>
      <w:r>
        <w:rPr>
          <w:rFonts w:eastAsia="Arial"/>
          <w:color w:val="84BE3F"/>
          <w:sz w:val="20"/>
          <w:szCs w:val="20"/>
        </w:rPr>
        <w:t>Lukáš Dobeš</w:t>
      </w:r>
      <w:r w:rsidR="00232B2A">
        <w:rPr>
          <w:rFonts w:eastAsia="Arial"/>
          <w:color w:val="84BE3F"/>
          <w:sz w:val="20"/>
          <w:szCs w:val="20"/>
        </w:rPr>
        <w:t>,</w:t>
      </w:r>
    </w:p>
    <w:p w14:paraId="02748D46" w14:textId="03DFF499" w:rsidR="006A6067" w:rsidRDefault="00232B2A" w:rsidP="006A6067">
      <w:pPr>
        <w:rPr>
          <w:rFonts w:eastAsia="Arial"/>
          <w:color w:val="84BE3F"/>
          <w:sz w:val="20"/>
          <w:szCs w:val="20"/>
        </w:rPr>
      </w:pPr>
      <w:r>
        <w:rPr>
          <w:rFonts w:eastAsia="Arial"/>
          <w:color w:val="84BE3F"/>
          <w:sz w:val="20"/>
          <w:szCs w:val="20"/>
        </w:rPr>
        <w:t>p</w:t>
      </w:r>
      <w:r w:rsidR="006A6067">
        <w:rPr>
          <w:rFonts w:eastAsia="Arial"/>
          <w:color w:val="84BE3F"/>
          <w:sz w:val="20"/>
          <w:szCs w:val="20"/>
        </w:rPr>
        <w:t>ředseda rady COGEN Czech – sdružení pro kombinovanou výrobu elektřiny a tepla</w:t>
      </w:r>
    </w:p>
    <w:p w14:paraId="10A27799" w14:textId="77777777" w:rsidR="006A6067" w:rsidRDefault="006A6067" w:rsidP="006A6067">
      <w:pPr>
        <w:rPr>
          <w:rFonts w:eastAsia="Arial"/>
          <w:color w:val="84BE3F"/>
          <w:sz w:val="20"/>
          <w:szCs w:val="20"/>
        </w:rPr>
      </w:pPr>
    </w:p>
    <w:p w14:paraId="5279D1A6" w14:textId="2F1D9666" w:rsidR="006A6067" w:rsidRDefault="006A6067" w:rsidP="006A6067">
      <w:pPr>
        <w:rPr>
          <w:rFonts w:eastAsia="Arial"/>
          <w:color w:val="84BE3F"/>
          <w:sz w:val="20"/>
          <w:szCs w:val="20"/>
        </w:rPr>
      </w:pPr>
      <w:r>
        <w:rPr>
          <w:rFonts w:eastAsia="Arial"/>
          <w:color w:val="84BE3F"/>
          <w:sz w:val="20"/>
          <w:szCs w:val="20"/>
        </w:rPr>
        <w:t>Jan Habart</w:t>
      </w:r>
      <w:r w:rsidR="00232B2A">
        <w:rPr>
          <w:rFonts w:eastAsia="Arial"/>
          <w:color w:val="84BE3F"/>
          <w:sz w:val="20"/>
          <w:szCs w:val="20"/>
        </w:rPr>
        <w:t>,</w:t>
      </w:r>
    </w:p>
    <w:p w14:paraId="7B8C3494" w14:textId="1D1FA4A5" w:rsidR="006A6067" w:rsidRDefault="00232B2A" w:rsidP="006A6067">
      <w:pPr>
        <w:rPr>
          <w:rFonts w:eastAsia="Arial"/>
          <w:color w:val="84BE3F"/>
          <w:sz w:val="20"/>
          <w:szCs w:val="20"/>
        </w:rPr>
      </w:pPr>
      <w:r>
        <w:rPr>
          <w:rFonts w:eastAsia="Arial"/>
          <w:color w:val="84BE3F"/>
          <w:sz w:val="20"/>
          <w:szCs w:val="20"/>
        </w:rPr>
        <w:t>p</w:t>
      </w:r>
      <w:r w:rsidR="006A6067">
        <w:rPr>
          <w:rFonts w:eastAsia="Arial"/>
          <w:color w:val="84BE3F"/>
          <w:sz w:val="20"/>
          <w:szCs w:val="20"/>
        </w:rPr>
        <w:t>ředseda CZ Biom – České sdružení pro biomasu</w:t>
      </w:r>
    </w:p>
    <w:p w14:paraId="7EE0EBAF" w14:textId="77777777" w:rsidR="006A6067" w:rsidRDefault="006A6067" w:rsidP="006A6067">
      <w:pPr>
        <w:rPr>
          <w:rFonts w:eastAsia="Arial"/>
          <w:color w:val="84BE3F"/>
          <w:sz w:val="20"/>
          <w:szCs w:val="20"/>
        </w:rPr>
      </w:pPr>
    </w:p>
    <w:p w14:paraId="46CEE334" w14:textId="1B24F237" w:rsidR="006A6067" w:rsidRDefault="006A6067" w:rsidP="006A6067">
      <w:pPr>
        <w:rPr>
          <w:rFonts w:eastAsia="Arial"/>
          <w:color w:val="84BE3F"/>
          <w:sz w:val="20"/>
          <w:szCs w:val="20"/>
        </w:rPr>
      </w:pPr>
      <w:r>
        <w:rPr>
          <w:rFonts w:eastAsia="Arial"/>
          <w:color w:val="84BE3F"/>
          <w:sz w:val="20"/>
          <w:szCs w:val="20"/>
        </w:rPr>
        <w:t xml:space="preserve">Lukáš </w:t>
      </w:r>
      <w:proofErr w:type="spellStart"/>
      <w:r>
        <w:rPr>
          <w:rFonts w:eastAsia="Arial"/>
          <w:color w:val="84BE3F"/>
          <w:sz w:val="20"/>
          <w:szCs w:val="20"/>
        </w:rPr>
        <w:t>Folbrecht</w:t>
      </w:r>
      <w:proofErr w:type="spellEnd"/>
      <w:r w:rsidR="00232B2A">
        <w:rPr>
          <w:rFonts w:eastAsia="Arial"/>
          <w:color w:val="84BE3F"/>
          <w:sz w:val="20"/>
          <w:szCs w:val="20"/>
        </w:rPr>
        <w:t>,</w:t>
      </w:r>
    </w:p>
    <w:p w14:paraId="17F1172D" w14:textId="1B0EA036" w:rsidR="006A6067" w:rsidRDefault="00232B2A" w:rsidP="006A6067">
      <w:pPr>
        <w:rPr>
          <w:rFonts w:eastAsia="Arial"/>
          <w:color w:val="84BE3F"/>
          <w:sz w:val="20"/>
          <w:szCs w:val="20"/>
        </w:rPr>
      </w:pPr>
      <w:r>
        <w:rPr>
          <w:rFonts w:eastAsia="Arial"/>
          <w:color w:val="84BE3F"/>
          <w:sz w:val="20"/>
          <w:szCs w:val="20"/>
        </w:rPr>
        <w:t>t</w:t>
      </w:r>
      <w:r w:rsidR="006A6067">
        <w:rPr>
          <w:rFonts w:eastAsia="Arial"/>
          <w:color w:val="84BE3F"/>
          <w:sz w:val="20"/>
          <w:szCs w:val="20"/>
        </w:rPr>
        <w:t>ajemník Elektromobilní Platformy</w:t>
      </w:r>
    </w:p>
    <w:p w14:paraId="47DE0599" w14:textId="77777777" w:rsidR="006A6067" w:rsidRDefault="006A6067" w:rsidP="006A6067">
      <w:pPr>
        <w:rPr>
          <w:rFonts w:eastAsia="Arial"/>
          <w:color w:val="84BE3F"/>
          <w:sz w:val="20"/>
          <w:szCs w:val="20"/>
        </w:rPr>
      </w:pPr>
    </w:p>
    <w:p w14:paraId="699BE21E" w14:textId="53AA5655" w:rsidR="006A6067" w:rsidRDefault="006A6067" w:rsidP="006A6067">
      <w:pPr>
        <w:rPr>
          <w:rFonts w:eastAsia="Arial"/>
          <w:color w:val="84BE3F"/>
          <w:sz w:val="20"/>
          <w:szCs w:val="20"/>
        </w:rPr>
      </w:pPr>
      <w:r>
        <w:rPr>
          <w:rFonts w:eastAsia="Arial"/>
          <w:color w:val="84BE3F"/>
          <w:sz w:val="20"/>
          <w:szCs w:val="20"/>
        </w:rPr>
        <w:t>Jan Krčmář</w:t>
      </w:r>
      <w:r w:rsidR="00232B2A">
        <w:rPr>
          <w:rFonts w:eastAsia="Arial"/>
          <w:color w:val="84BE3F"/>
          <w:sz w:val="20"/>
          <w:szCs w:val="20"/>
        </w:rPr>
        <w:t>,</w:t>
      </w:r>
    </w:p>
    <w:p w14:paraId="76024445" w14:textId="326B2655" w:rsidR="006A6067" w:rsidRDefault="00232B2A" w:rsidP="006A6067">
      <w:pPr>
        <w:rPr>
          <w:rFonts w:eastAsia="Arial"/>
          <w:color w:val="84BE3F"/>
          <w:sz w:val="20"/>
          <w:szCs w:val="20"/>
        </w:rPr>
      </w:pPr>
      <w:r>
        <w:rPr>
          <w:rFonts w:eastAsia="Arial"/>
          <w:color w:val="84BE3F"/>
          <w:sz w:val="20"/>
          <w:szCs w:val="20"/>
        </w:rPr>
        <w:t>v</w:t>
      </w:r>
      <w:r w:rsidR="006A6067">
        <w:rPr>
          <w:rFonts w:eastAsia="Arial"/>
          <w:color w:val="84BE3F"/>
          <w:sz w:val="20"/>
          <w:szCs w:val="20"/>
        </w:rPr>
        <w:t>ýkonný ředitel Solární asociace</w:t>
      </w:r>
    </w:p>
    <w:p w14:paraId="7A689CF2" w14:textId="77777777" w:rsidR="006A6067" w:rsidRDefault="006A6067" w:rsidP="006A6067">
      <w:pPr>
        <w:rPr>
          <w:rFonts w:eastAsia="Arial"/>
          <w:color w:val="84BE3F"/>
          <w:sz w:val="20"/>
          <w:szCs w:val="20"/>
        </w:rPr>
      </w:pPr>
    </w:p>
    <w:p w14:paraId="2627B530" w14:textId="0F2676EE" w:rsidR="006A6067" w:rsidRDefault="006A6067" w:rsidP="006A6067">
      <w:pPr>
        <w:rPr>
          <w:rFonts w:eastAsia="Arial"/>
          <w:color w:val="84BE3F"/>
          <w:sz w:val="20"/>
          <w:szCs w:val="20"/>
        </w:rPr>
      </w:pPr>
    </w:p>
    <w:p w14:paraId="585D600F" w14:textId="3FF1C86C" w:rsidR="006A6067" w:rsidRPr="000E6430" w:rsidRDefault="006A6067" w:rsidP="006A6067">
      <w:pPr>
        <w:rPr>
          <w:rFonts w:asciiTheme="majorHAnsi" w:eastAsia="Arial" w:hAnsiTheme="majorHAnsi" w:cstheme="majorHAnsi"/>
          <w:sz w:val="16"/>
          <w:szCs w:val="16"/>
        </w:rPr>
        <w:sectPr w:rsidR="006A6067" w:rsidRPr="000E6430" w:rsidSect="006A6067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</w:sectPr>
      </w:pPr>
    </w:p>
    <w:p w14:paraId="21B52C23" w14:textId="77777777" w:rsidR="006A6067" w:rsidRPr="00010272" w:rsidRDefault="006A6067" w:rsidP="009E316F">
      <w:pPr>
        <w:tabs>
          <w:tab w:val="left" w:pos="1041"/>
        </w:tabs>
        <w:spacing w:after="240"/>
        <w:jc w:val="both"/>
        <w:rPr>
          <w:rFonts w:asciiTheme="majorHAnsi" w:hAnsiTheme="majorHAnsi" w:cstheme="majorHAnsi"/>
        </w:rPr>
      </w:pPr>
    </w:p>
    <w:sectPr w:rsidR="006A6067" w:rsidRPr="00010272" w:rsidSect="000E6430">
      <w:type w:val="continuous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BC895" w14:textId="77777777" w:rsidR="008A7175" w:rsidRDefault="008A7175" w:rsidP="00361B3A">
      <w:r>
        <w:separator/>
      </w:r>
    </w:p>
  </w:endnote>
  <w:endnote w:type="continuationSeparator" w:id="0">
    <w:p w14:paraId="35F19900" w14:textId="77777777" w:rsidR="008A7175" w:rsidRDefault="008A7175" w:rsidP="00361B3A">
      <w:r>
        <w:continuationSeparator/>
      </w:r>
    </w:p>
  </w:endnote>
  <w:endnote w:type="continuationNotice" w:id="1">
    <w:p w14:paraId="34F953B2" w14:textId="77777777" w:rsidR="008A7175" w:rsidRDefault="008A71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xo 2 Medium">
    <w:altName w:val="Calibri"/>
    <w:charset w:val="00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C7E55" w14:textId="43777EF2" w:rsidR="00662245" w:rsidRPr="00662245" w:rsidRDefault="008143F7" w:rsidP="008143F7">
    <w:pPr>
      <w:pStyle w:val="Zpat"/>
      <w:tabs>
        <w:tab w:val="clear" w:pos="4536"/>
        <w:tab w:val="clear" w:pos="9072"/>
        <w:tab w:val="left" w:pos="2694"/>
        <w:tab w:val="center" w:pos="4395"/>
      </w:tabs>
      <w:rPr>
        <w:sz w:val="19"/>
        <w:szCs w:val="19"/>
      </w:rPr>
    </w:pPr>
    <w:r w:rsidRPr="008143F7">
      <w:rPr>
        <w:rFonts w:ascii="Exo 2 Medium" w:hAnsi="Exo 2 Medium"/>
        <w:noProof/>
        <w:color w:val="575756"/>
        <w:sz w:val="19"/>
        <w:szCs w:val="19"/>
      </w:rPr>
      <w:drawing>
        <wp:anchor distT="0" distB="0" distL="114300" distR="114300" simplePos="0" relativeHeight="251658242" behindDoc="1" locked="0" layoutInCell="1" allowOverlap="1" wp14:anchorId="3398422E" wp14:editId="0AAD424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6979549" cy="1581785"/>
          <wp:effectExtent l="0" t="0" r="0" b="0"/>
          <wp:wrapNone/>
          <wp:docPr id="793560085" name="Obrázek 1" descr="Obsah obrázku zelené, Grafika, grafický design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321953" name="Obrázek 1" descr="Obsah obrázku zelené, Grafika, grafický design, design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9549" cy="158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2245" w:rsidRPr="00E337D4">
      <w:rPr>
        <w:rFonts w:ascii="Exo 2 Medium" w:hAnsi="Exo 2 Medium"/>
        <w:color w:val="575756"/>
        <w:sz w:val="19"/>
        <w:szCs w:val="19"/>
      </w:rPr>
      <w:t>Sídlo</w:t>
    </w:r>
    <w:r w:rsidR="00662245" w:rsidRPr="00E337D4">
      <w:rPr>
        <w:rFonts w:ascii="Exo 2 Medium" w:hAnsi="Exo 2 Medium"/>
        <w:color w:val="575756"/>
        <w:sz w:val="19"/>
        <w:szCs w:val="19"/>
      </w:rPr>
      <w:tab/>
      <w:t>Email</w:t>
    </w:r>
    <w:r w:rsidR="00662245" w:rsidRPr="00E337D4">
      <w:rPr>
        <w:rFonts w:ascii="Exo 2 Medium" w:hAnsi="Exo 2 Medium"/>
        <w:color w:val="575756"/>
        <w:sz w:val="19"/>
        <w:szCs w:val="19"/>
      </w:rPr>
      <w:br/>
      <w:t>Evropská 11/2758</w:t>
    </w:r>
    <w:r w:rsidR="00662245">
      <w:rPr>
        <w:rFonts w:ascii="Exo 2 Medium" w:hAnsi="Exo 2 Medium"/>
        <w:color w:val="575756"/>
        <w:sz w:val="19"/>
        <w:szCs w:val="19"/>
      </w:rPr>
      <w:tab/>
    </w:r>
    <w:r w:rsidR="00662245" w:rsidRPr="00E337D4">
      <w:rPr>
        <w:rFonts w:ascii="Exo 2 Medium" w:hAnsi="Exo 2 Medium"/>
        <w:color w:val="575756"/>
        <w:sz w:val="19"/>
        <w:szCs w:val="19"/>
      </w:rPr>
      <w:t>info@bezemisni.cz</w:t>
    </w:r>
    <w:r w:rsidR="00662245" w:rsidRPr="00E337D4">
      <w:rPr>
        <w:rFonts w:ascii="Exo 2 Medium" w:hAnsi="Exo 2 Medium"/>
        <w:color w:val="575756"/>
        <w:sz w:val="19"/>
        <w:szCs w:val="19"/>
      </w:rPr>
      <w:br/>
      <w:t>160 00 Praha 6</w:t>
    </w:r>
    <w:r w:rsidR="00662245" w:rsidRPr="00E337D4">
      <w:rPr>
        <w:rFonts w:ascii="Exo 2 Medium" w:hAnsi="Exo 2 Medium"/>
        <w:color w:val="575756"/>
        <w:sz w:val="19"/>
        <w:szCs w:val="19"/>
      </w:rPr>
      <w:tab/>
      <w:t>IČO: 04460286</w:t>
    </w:r>
    <w:r w:rsidR="00662245">
      <w:rPr>
        <w:rFonts w:ascii="Exo 2 Medium" w:hAnsi="Exo 2 Medium"/>
        <w:color w:val="575756"/>
        <w:sz w:val="19"/>
        <w:szCs w:val="19"/>
      </w:rPr>
      <w:tab/>
    </w:r>
    <w:r w:rsidR="00662245">
      <w:rPr>
        <w:rFonts w:ascii="Exo 2 Medium" w:hAnsi="Exo 2 Medium"/>
        <w:color w:val="575756"/>
        <w:sz w:val="19"/>
        <w:szCs w:val="1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F51E1" w14:textId="77777777" w:rsidR="008A7175" w:rsidRDefault="008A7175" w:rsidP="00361B3A">
      <w:r>
        <w:separator/>
      </w:r>
    </w:p>
  </w:footnote>
  <w:footnote w:type="continuationSeparator" w:id="0">
    <w:p w14:paraId="454D4BA5" w14:textId="77777777" w:rsidR="008A7175" w:rsidRDefault="008A7175" w:rsidP="00361B3A">
      <w:r>
        <w:continuationSeparator/>
      </w:r>
    </w:p>
  </w:footnote>
  <w:footnote w:type="continuationNotice" w:id="1">
    <w:p w14:paraId="7B86CAC1" w14:textId="77777777" w:rsidR="008A7175" w:rsidRDefault="008A71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35377" w14:textId="3383224F" w:rsidR="00D55175" w:rsidRDefault="00D55175" w:rsidP="00D55175">
    <w:pPr>
      <w:pStyle w:val="Zhlav"/>
      <w:tabs>
        <w:tab w:val="clear" w:pos="4536"/>
        <w:tab w:val="clear" w:pos="9072"/>
        <w:tab w:val="left" w:pos="5820"/>
      </w:tabs>
    </w:pPr>
    <w:r w:rsidRPr="00D55175">
      <w:rPr>
        <w:noProof/>
      </w:rPr>
      <w:drawing>
        <wp:anchor distT="0" distB="0" distL="114300" distR="114300" simplePos="0" relativeHeight="251658241" behindDoc="1" locked="0" layoutInCell="1" allowOverlap="1" wp14:anchorId="5F4C14FE" wp14:editId="16068BDC">
          <wp:simplePos x="0" y="0"/>
          <wp:positionH relativeFrom="margin">
            <wp:posOffset>3867150</wp:posOffset>
          </wp:positionH>
          <wp:positionV relativeFrom="page">
            <wp:posOffset>323850</wp:posOffset>
          </wp:positionV>
          <wp:extent cx="2407551" cy="281305"/>
          <wp:effectExtent l="0" t="0" r="0" b="4445"/>
          <wp:wrapNone/>
          <wp:docPr id="182512152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73878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7551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5175">
      <w:rPr>
        <w:noProof/>
      </w:rPr>
      <w:drawing>
        <wp:anchor distT="0" distB="0" distL="114300" distR="114300" simplePos="0" relativeHeight="251658240" behindDoc="1" locked="0" layoutInCell="1" allowOverlap="1" wp14:anchorId="584B1A70" wp14:editId="779B0885">
          <wp:simplePos x="0" y="0"/>
          <wp:positionH relativeFrom="margin">
            <wp:posOffset>-347345</wp:posOffset>
          </wp:positionH>
          <wp:positionV relativeFrom="topMargin">
            <wp:posOffset>171450</wp:posOffset>
          </wp:positionV>
          <wp:extent cx="1228725" cy="650932"/>
          <wp:effectExtent l="0" t="0" r="0" b="0"/>
          <wp:wrapNone/>
          <wp:docPr id="31736017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186270" name="Obrázek 1" descr="Obsah obrázku text, Písmo, logo, Grafika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8725" cy="650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83F74"/>
    <w:multiLevelType w:val="hybridMultilevel"/>
    <w:tmpl w:val="325EA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C4C4E"/>
    <w:multiLevelType w:val="hybridMultilevel"/>
    <w:tmpl w:val="78A49D0A"/>
    <w:lvl w:ilvl="0" w:tplc="74C4D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E3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74F8B"/>
    <w:multiLevelType w:val="hybridMultilevel"/>
    <w:tmpl w:val="83D642C6"/>
    <w:lvl w:ilvl="0" w:tplc="74C4D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E3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22422"/>
    <w:multiLevelType w:val="hybridMultilevel"/>
    <w:tmpl w:val="4DB22D1C"/>
    <w:lvl w:ilvl="0" w:tplc="4CA26CD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252077">
    <w:abstractNumId w:val="3"/>
  </w:num>
  <w:num w:numId="2" w16cid:durableId="46690912">
    <w:abstractNumId w:val="1"/>
  </w:num>
  <w:num w:numId="3" w16cid:durableId="42676027">
    <w:abstractNumId w:val="0"/>
  </w:num>
  <w:num w:numId="4" w16cid:durableId="1601914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DB"/>
    <w:rsid w:val="00003A36"/>
    <w:rsid w:val="00010272"/>
    <w:rsid w:val="00012AFA"/>
    <w:rsid w:val="00013E89"/>
    <w:rsid w:val="00035AD0"/>
    <w:rsid w:val="0004347F"/>
    <w:rsid w:val="000E2CEE"/>
    <w:rsid w:val="000E6430"/>
    <w:rsid w:val="000F103B"/>
    <w:rsid w:val="001671DA"/>
    <w:rsid w:val="00176A14"/>
    <w:rsid w:val="001835ED"/>
    <w:rsid w:val="00216E3F"/>
    <w:rsid w:val="002210AC"/>
    <w:rsid w:val="00232B2A"/>
    <w:rsid w:val="002D18DD"/>
    <w:rsid w:val="003324EB"/>
    <w:rsid w:val="00361B3A"/>
    <w:rsid w:val="003A434A"/>
    <w:rsid w:val="003B1146"/>
    <w:rsid w:val="003B1765"/>
    <w:rsid w:val="003D400A"/>
    <w:rsid w:val="003F6009"/>
    <w:rsid w:val="00466FE8"/>
    <w:rsid w:val="00475C95"/>
    <w:rsid w:val="004A2566"/>
    <w:rsid w:val="004A61BF"/>
    <w:rsid w:val="004B5405"/>
    <w:rsid w:val="00542D47"/>
    <w:rsid w:val="0056207B"/>
    <w:rsid w:val="005C2D90"/>
    <w:rsid w:val="005D4E61"/>
    <w:rsid w:val="0060537D"/>
    <w:rsid w:val="006453C4"/>
    <w:rsid w:val="00650D91"/>
    <w:rsid w:val="00662245"/>
    <w:rsid w:val="0066261D"/>
    <w:rsid w:val="006A6067"/>
    <w:rsid w:val="006C38CA"/>
    <w:rsid w:val="006D2421"/>
    <w:rsid w:val="006D3B89"/>
    <w:rsid w:val="00777F8D"/>
    <w:rsid w:val="007F77AF"/>
    <w:rsid w:val="008143F7"/>
    <w:rsid w:val="0082104E"/>
    <w:rsid w:val="00866862"/>
    <w:rsid w:val="00876B39"/>
    <w:rsid w:val="008910AA"/>
    <w:rsid w:val="008A7175"/>
    <w:rsid w:val="008C689C"/>
    <w:rsid w:val="008D57F0"/>
    <w:rsid w:val="008E5A75"/>
    <w:rsid w:val="009975CD"/>
    <w:rsid w:val="009A24A7"/>
    <w:rsid w:val="009A6E5B"/>
    <w:rsid w:val="009D3693"/>
    <w:rsid w:val="009D7ABE"/>
    <w:rsid w:val="009E316F"/>
    <w:rsid w:val="009E53FC"/>
    <w:rsid w:val="00A75FDB"/>
    <w:rsid w:val="00B32046"/>
    <w:rsid w:val="00B33D27"/>
    <w:rsid w:val="00B94EC6"/>
    <w:rsid w:val="00BA364F"/>
    <w:rsid w:val="00C37C0E"/>
    <w:rsid w:val="00C421A4"/>
    <w:rsid w:val="00CE7AFA"/>
    <w:rsid w:val="00D035AD"/>
    <w:rsid w:val="00D364FE"/>
    <w:rsid w:val="00D55175"/>
    <w:rsid w:val="00D8361F"/>
    <w:rsid w:val="00DC1ECC"/>
    <w:rsid w:val="00E06C1E"/>
    <w:rsid w:val="00E252AC"/>
    <w:rsid w:val="00E34374"/>
    <w:rsid w:val="00E81208"/>
    <w:rsid w:val="00F25318"/>
    <w:rsid w:val="00F32ECB"/>
    <w:rsid w:val="00F4772F"/>
    <w:rsid w:val="00F82805"/>
    <w:rsid w:val="00F901B3"/>
    <w:rsid w:val="00FA13BB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E6C6C"/>
  <w15:docId w15:val="{B99B8A4C-1EC9-4D4E-A1B5-BC0D4844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003A36"/>
  </w:style>
  <w:style w:type="paragraph" w:customStyle="1" w:styleId="xxmsonormal">
    <w:name w:val="x_x_msonormal"/>
    <w:basedOn w:val="Normln"/>
    <w:rsid w:val="009A24A7"/>
    <w:rPr>
      <w:rFonts w:eastAsiaTheme="minorHAns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013E8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A6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61BF"/>
  </w:style>
  <w:style w:type="paragraph" w:styleId="Zpat">
    <w:name w:val="footer"/>
    <w:basedOn w:val="Normln"/>
    <w:link w:val="ZpatChar"/>
    <w:uiPriority w:val="99"/>
    <w:unhideWhenUsed/>
    <w:rsid w:val="004A6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61BF"/>
  </w:style>
  <w:style w:type="paragraph" w:styleId="Bezmezer">
    <w:name w:val="No Spacing"/>
    <w:uiPriority w:val="1"/>
    <w:qFormat/>
    <w:rsid w:val="00F477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2D4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2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2D4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42D4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42D4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42D47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542D47"/>
    <w:pPr>
      <w:spacing w:before="100" w:beforeAutospacing="1" w:after="100" w:afterAutospacing="1"/>
    </w:pPr>
    <w:rPr>
      <w:rFonts w:eastAsiaTheme="minorHAns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6207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67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ezemisni.cz/uploads/files/240821-Spolecna-vyzva-NKEP-POK-a-SEK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ezemisni.cz/uploads/files/240821-Spolecna-vyzva-NKEP-POK-a-SEK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a61ea-06d2-486c-9658-4fa68bed185b" xsi:nil="true"/>
    <lcf76f155ced4ddcb4097134ff3c332f xmlns="c9926ece-fcd1-4831-8ea7-a310ebb5131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zXgqKCcCMy5axo286snj/EWOwA==">CgMxLjA4AHIhMU9mU0VQMENpWm0wVmI4bHNuUDZZVjlVVXdSTjVHMElj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E4484AD2595647A0F1B01594375093" ma:contentTypeVersion="15" ma:contentTypeDescription="Vytvoří nový dokument" ma:contentTypeScope="" ma:versionID="4959f59d981fb7103ad4382c4e0c191a">
  <xsd:schema xmlns:xsd="http://www.w3.org/2001/XMLSchema" xmlns:xs="http://www.w3.org/2001/XMLSchema" xmlns:p="http://schemas.microsoft.com/office/2006/metadata/properties" xmlns:ns2="c9926ece-fcd1-4831-8ea7-a310ebb51314" xmlns:ns3="79ea61ea-06d2-486c-9658-4fa68bed185b" targetNamespace="http://schemas.microsoft.com/office/2006/metadata/properties" ma:root="true" ma:fieldsID="8bcd6f5b74da0e1a792e9debce49c82b" ns2:_="" ns3:_="">
    <xsd:import namespace="c9926ece-fcd1-4831-8ea7-a310ebb51314"/>
    <xsd:import namespace="79ea61ea-06d2-486c-9658-4fa68bed1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26ece-fcd1-4831-8ea7-a310ebb51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826ddfc-5b8f-45b1-b7d8-c153f6ccae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61ea-06d2-486c-9658-4fa68bed18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9e3ba-1e68-4edb-b6f2-73e726cb2df5}" ma:internalName="TaxCatchAll" ma:showField="CatchAllData" ma:web="79ea61ea-06d2-486c-9658-4fa68bed1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CD4B9-18BE-4964-8D01-4CD0727D7CC8}">
  <ds:schemaRefs>
    <ds:schemaRef ds:uri="http://schemas.microsoft.com/office/2006/metadata/properties"/>
    <ds:schemaRef ds:uri="http://schemas.microsoft.com/office/infopath/2007/PartnerControls"/>
    <ds:schemaRef ds:uri="79ea61ea-06d2-486c-9658-4fa68bed185b"/>
    <ds:schemaRef ds:uri="c9926ece-fcd1-4831-8ea7-a310ebb51314"/>
  </ds:schemaRefs>
</ds:datastoreItem>
</file>

<file path=customXml/itemProps2.xml><?xml version="1.0" encoding="utf-8"?>
<ds:datastoreItem xmlns:ds="http://schemas.openxmlformats.org/officeDocument/2006/customXml" ds:itemID="{CF28AE8B-8F71-4160-9C3C-60EF9DCC3F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587F234-1016-4D0C-988B-31CCEC1CB6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038AA4-C6BF-4CDA-9D8D-EB2390877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26ece-fcd1-4831-8ea7-a310ebb51314"/>
    <ds:schemaRef ds:uri="79ea61ea-06d2-486c-9658-4fa68bed1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1135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Poznickova Denisa</dc:creator>
  <cp:lastModifiedBy>Erika Sedlářová</cp:lastModifiedBy>
  <cp:revision>31</cp:revision>
  <dcterms:created xsi:type="dcterms:W3CDTF">2024-04-03T06:41:00Z</dcterms:created>
  <dcterms:modified xsi:type="dcterms:W3CDTF">2024-08-21T05:12:00Z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2024-01-17T17:11:34Z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fb0cee97-9939-4f72-8fc5-bf026900c73a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  <property fmtid="{D5CDD505-2E9C-101B-9397-08002B2CF9AE}" pid="10" name="ContentTypeId">
    <vt:lpwstr>0x01010070E4484AD2595647A0F1B01594375093</vt:lpwstr>
  </property>
  <property fmtid="{D5CDD505-2E9C-101B-9397-08002B2CF9AE}" pid="11" name="MediaServiceImageTags">
    <vt:lpwstr/>
  </property>
</Properties>
</file>